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Times New Roman" w:eastAsia="方正仿宋_GBK" w:cs="方正黑体_GBK"/>
          <w:sz w:val="32"/>
          <w:szCs w:val="32"/>
        </w:rPr>
      </w:pPr>
      <w:r>
        <w:rPr>
          <w:rFonts w:hint="eastAsia" w:ascii="方正仿宋_GBK" w:hAnsi="Times New Roman" w:eastAsia="方正仿宋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年度重庆市拍卖企业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年度核查合格名单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7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eastAsia="zh-CN" w:bidi="ar-SA"/>
              </w:rPr>
              <w:t>合格拍卖企业（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val="en-US" w:eastAsia="zh-CN" w:bidi="ar-SA"/>
              </w:rPr>
              <w:t>67家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eastAsia="zh-CN" w:bidi="ar-SA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重庆集成拍卖有限责任公司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重庆市拍卖中心有限公司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重庆汇融拍卖有限公司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重庆华夏文物拍卖有限公司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重庆万丰源拍卖有限公司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重庆时代拍卖有限公司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重庆市天力拍卖有限公司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重庆信托拍卖行有限责任公司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重庆市泰鼎拍卖有限责任公司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重庆市北城拍卖中心有限责任公司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重庆博诚拍卖有限公司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重庆竞风拍卖有限公司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重庆华信拍卖有限责任公司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重庆开元拍卖有限公司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重庆中润拍卖有限公司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重庆市公得拍卖有限公司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重庆中财拍卖有限公司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北京中拓国际拍卖有限公司重庆分公司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重庆创毅拍卖有限公司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重庆市新益拍卖有限公司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重庆市尚文斋拍卖有限公司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重庆市和博拍卖有限责任公司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重庆皓元拍卖（重庆）有限公司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重庆乾德拍卖有限公司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重庆聚德轩拍卖有限公司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重庆思源拍卖有限公司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重庆中惟拍卖有限公司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重庆汇丰拍卖有限公司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重庆海博拍卖有限公司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重庆坤鹏拍卖有限公司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重庆加盛拍卖有限公司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重庆市金槌拍卖有限公司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重庆市淳辉阁拍卖有限公司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重庆商道拍卖有限公司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重庆市嘉瑞拍卖有限公司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重庆嘉禾拍卖有限公司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重庆恒瑞拍卖有限公司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重庆国信拍卖有限公司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重庆金辰拍卖有限公司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重庆双坝拍卖有限公司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重庆渝豪拍卖有限公司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重庆佳腾拍卖有限公司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四川金诚拍卖有限公司重庆分公司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新濠拍卖（重庆）有限公司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重庆今为拍卖有限责任公司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正信达（重庆）网络科技有限公司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重庆慕窗拍卖有限公司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重庆初壹臻品拍卖有限公司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重庆力彬拍卖有限公司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重庆翰尊网络科技有限公司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重庆万表信息技术有限公司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重庆意诚拍卖有限责任公司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重庆益拍网络科技有限公司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重庆辉昱和拍网络科技有限公司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重庆八方拍网络科技有限公司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重庆正大国友拍卖有限公司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重庆光大佳拍拍卖有限公司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重庆市宏鑫拍卖有限公司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重庆合众拍卖有限公司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重庆深蓝拍卖有限公司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公拍网络科技重庆有限公司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中汇拍卖（重庆）有限公司</w:t>
            </w:r>
          </w:p>
        </w:tc>
      </w:tr>
    </w:tbl>
    <w:p>
      <w:pPr>
        <w:jc w:val="left"/>
        <w:rPr>
          <w:rFonts w:hint="eastAsia" w:ascii="Times New Roman" w:hAnsi="Times New Roma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75033"/>
    <w:rsid w:val="1F6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2021-08-20T07:12:00Z</dcterms:created>
  <dc:creator>山水水木</dc:creator>
  <cp:lastModifiedBy>山水水木</cp:lastModifiedBy>
  <dcterms:modified xsi:type="dcterms:W3CDTF">2021-08-20T07:13:14Z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20386C4321284D2FB4F4218CB600D89C</vt:lpwstr>
  </property>
</Properties>
</file>