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beforeAutospacing="0" w:after="0" w:afterAutospacing="0" w:line="540" w:lineRule="atLeast"/>
        <w:ind w:firstLine="640" w:firstLineChars="200"/>
        <w:jc w:val="both"/>
        <w:rPr>
          <w:rFonts w:ascii="Times New Roman" w:hAnsi="Times New Roman" w:eastAsia="方正黑体_GBK"/>
          <w:color w:val="000000"/>
          <w:sz w:val="32"/>
          <w:szCs w:val="32"/>
          <w:lang w:bidi="ar"/>
        </w:rPr>
      </w:pPr>
      <w:r>
        <w:rPr>
          <w:rFonts w:ascii="Times New Roman" w:hAnsi="Times New Roman" w:eastAsia="方正黑体_GBK"/>
          <w:color w:val="000000"/>
          <w:sz w:val="32"/>
          <w:szCs w:val="32"/>
          <w:lang w:bidi="ar"/>
        </w:rPr>
        <w:t>附件1</w:t>
      </w:r>
    </w:p>
    <w:p>
      <w:pPr>
        <w:pStyle w:val="3"/>
        <w:adjustRightInd w:val="0"/>
        <w:snapToGrid w:val="0"/>
        <w:spacing w:before="0" w:beforeAutospacing="0" w:after="0" w:afterAutospacing="0" w:line="540" w:lineRule="atLeast"/>
        <w:jc w:val="center"/>
        <w:rPr>
          <w:rFonts w:hint="eastAsia" w:ascii="Times New Roman" w:hAnsi="Times New Roman" w:eastAsia="方正仿宋_GBK"/>
          <w:sz w:val="32"/>
          <w:szCs w:val="32"/>
          <w:lang w:eastAsia="zh-CN" w:bidi="ar"/>
        </w:rPr>
      </w:pPr>
    </w:p>
    <w:p>
      <w:pPr>
        <w:pStyle w:val="3"/>
        <w:adjustRightInd w:val="0"/>
        <w:snapToGrid w:val="0"/>
        <w:spacing w:before="0" w:beforeAutospacing="0" w:after="0" w:afterAutospacing="0" w:line="540" w:lineRule="atLeast"/>
        <w:jc w:val="center"/>
        <w:rPr>
          <w:rStyle w:val="6"/>
          <w:rFonts w:ascii="Times New Roman" w:hAnsi="Times New Roman" w:eastAsia="方正小标宋_GBK"/>
          <w:b w:val="0"/>
          <w:bCs/>
          <w:color w:val="000000"/>
          <w:sz w:val="44"/>
          <w:szCs w:val="44"/>
          <w:lang w:bidi="ar"/>
        </w:rPr>
      </w:pPr>
      <w:bookmarkStart w:id="0" w:name="_GoBack"/>
      <w:r>
        <w:rPr>
          <w:rStyle w:val="6"/>
          <w:rFonts w:ascii="Times New Roman" w:hAnsi="Times New Roman" w:eastAsia="方正小标宋_GBK"/>
          <w:b w:val="0"/>
          <w:bCs/>
          <w:color w:val="000000"/>
          <w:sz w:val="44"/>
          <w:szCs w:val="44"/>
          <w:lang w:bidi="ar"/>
        </w:rPr>
        <w:t>创新型中小企业评价标准及指标说明</w:t>
      </w:r>
    </w:p>
    <w:bookmarkEnd w:id="0"/>
    <w:p>
      <w:pPr>
        <w:pStyle w:val="3"/>
        <w:adjustRightInd w:val="0"/>
        <w:snapToGrid w:val="0"/>
        <w:spacing w:before="0" w:beforeAutospacing="0" w:after="0" w:afterAutospacing="0" w:line="540" w:lineRule="atLeast"/>
        <w:jc w:val="center"/>
        <w:rPr>
          <w:rStyle w:val="6"/>
          <w:rFonts w:ascii="Times New Roman" w:hAnsi="Times New Roman" w:eastAsia="方正小标宋_GBK"/>
          <w:b w:val="0"/>
          <w:bCs/>
          <w:color w:val="000000"/>
          <w:sz w:val="44"/>
          <w:szCs w:val="44"/>
          <w:lang w:bidi="ar"/>
        </w:rPr>
      </w:pPr>
    </w:p>
    <w:p>
      <w:pPr>
        <w:pStyle w:val="3"/>
        <w:adjustRightInd w:val="0"/>
        <w:snapToGrid w:val="0"/>
        <w:spacing w:before="0" w:beforeAutospacing="0" w:after="0" w:afterAutospacing="0" w:line="540" w:lineRule="atLeast"/>
        <w:ind w:firstLine="640" w:firstLineChars="200"/>
        <w:rPr>
          <w:rFonts w:ascii="Times New Roman" w:hAnsi="Times New Roman" w:eastAsia="方正黑体_GBK"/>
          <w:sz w:val="32"/>
          <w:szCs w:val="32"/>
        </w:rPr>
      </w:pPr>
      <w:r>
        <w:rPr>
          <w:rFonts w:ascii="Times New Roman" w:hAnsi="Times New Roman" w:eastAsia="方正黑体_GBK"/>
          <w:sz w:val="32"/>
          <w:szCs w:val="32"/>
        </w:rPr>
        <w:t>一、公告条件</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评价得分达到60分以上（其中创新能力指标得分不低于20分、成长性指标及专业化指标得分均不低于15分），或满足下列条件之一：</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（一）近三年内获得过国家级、省级科技奖励。</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（二）获得高新技术企业、国家级技术创新示范企业、 知识产权优势企业和知识产权示范企业等荣誉（均为有效期内）。</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（三）拥有经认定的省部级以上研发机构。</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（四）近三年新增股权融资总额（合格机构投资者的实 缴额）500万元以上。</w:t>
      </w:r>
    </w:p>
    <w:p>
      <w:pPr>
        <w:pStyle w:val="3"/>
        <w:adjustRightInd w:val="0"/>
        <w:snapToGrid w:val="0"/>
        <w:spacing w:before="0" w:beforeAutospacing="0" w:after="0" w:afterAutospacing="0" w:line="540" w:lineRule="atLeast"/>
        <w:ind w:firstLine="640" w:firstLineChars="200"/>
        <w:rPr>
          <w:rFonts w:ascii="Times New Roman" w:hAnsi="Times New Roman" w:eastAsia="方正黑体_GBK"/>
          <w:sz w:val="32"/>
          <w:szCs w:val="32"/>
        </w:rPr>
      </w:pPr>
      <w:r>
        <w:rPr>
          <w:rFonts w:ascii="Times New Roman" w:hAnsi="Times New Roman" w:eastAsia="方正黑体_GBK"/>
          <w:sz w:val="32"/>
          <w:szCs w:val="32"/>
        </w:rPr>
        <w:t>二、评价指标</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包括创新能力、成长性、专业化三类六个指标，评价结果依分值计算，满分为100分。</w:t>
      </w:r>
    </w:p>
    <w:p>
      <w:pPr>
        <w:pStyle w:val="3"/>
        <w:adjustRightInd w:val="0"/>
        <w:snapToGrid w:val="0"/>
        <w:spacing w:before="0" w:beforeAutospacing="0" w:after="0" w:afterAutospacing="0" w:line="540" w:lineRule="atLeast"/>
        <w:ind w:firstLine="640" w:firstLineChars="200"/>
        <w:rPr>
          <w:rFonts w:ascii="Times New Roman" w:hAnsi="Times New Roman" w:eastAsia="方正楷体_GBK"/>
          <w:sz w:val="32"/>
          <w:szCs w:val="32"/>
        </w:rPr>
      </w:pPr>
      <w:r>
        <w:rPr>
          <w:rFonts w:ascii="Times New Roman" w:hAnsi="Times New Roman" w:eastAsia="方正楷体_GBK"/>
          <w:sz w:val="32"/>
          <w:szCs w:val="32"/>
        </w:rPr>
        <w:t>（一）创新能力指标。（满分40分）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1.与企业主导产品相关的有效知识产权数量</w:t>
      </w:r>
      <w:r>
        <w:rPr>
          <w:rFonts w:hint="eastAsia" w:ascii="Times New Roman" w:hAnsi="Times New Roman" w:eastAsia="方正仿宋_GBK"/>
          <w:sz w:val="32"/>
          <w:szCs w:val="32"/>
        </w:rPr>
        <w:t>。</w:t>
      </w:r>
      <w:r>
        <w:rPr>
          <w:rFonts w:ascii="Times New Roman" w:hAnsi="Times New Roman" w:eastAsia="方正仿宋_GBK"/>
          <w:sz w:val="32"/>
          <w:szCs w:val="32"/>
        </w:rPr>
        <w:t>（满分20分）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A. Ⅰ类高价值知识产权1项以上（20分）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B. 自主研发的Ⅰ类知识产权1项以上（15分）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C. Ⅰ类知识产权1项以上（10分）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D. Ⅱ类知识产权1项以上（5分）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E. 无（0分）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2.上年度研发费用总额占营业收入总额比重</w:t>
      </w:r>
      <w:r>
        <w:rPr>
          <w:rFonts w:hint="eastAsia" w:ascii="Times New Roman" w:hAnsi="Times New Roman" w:eastAsia="方正仿宋_GBK"/>
          <w:sz w:val="32"/>
          <w:szCs w:val="32"/>
        </w:rPr>
        <w:t>。</w:t>
      </w:r>
      <w:r>
        <w:rPr>
          <w:rFonts w:ascii="Times New Roman" w:hAnsi="Times New Roman" w:eastAsia="方正仿宋_GBK"/>
          <w:sz w:val="32"/>
          <w:szCs w:val="32"/>
        </w:rPr>
        <w:t>（满分20分）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A. 5%以上（20分）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B. 3%</w:t>
      </w:r>
      <w:r>
        <w:rPr>
          <w:rFonts w:hint="eastAsia" w:ascii="Times New Roman" w:hAnsi="Times New Roman" w:eastAsia="方正仿宋_GBK"/>
          <w:sz w:val="32"/>
          <w:szCs w:val="32"/>
        </w:rPr>
        <w:t>—</w:t>
      </w:r>
      <w:r>
        <w:rPr>
          <w:rFonts w:ascii="Times New Roman" w:hAnsi="Times New Roman" w:eastAsia="方正仿宋_GBK"/>
          <w:sz w:val="32"/>
          <w:szCs w:val="32"/>
        </w:rPr>
        <w:t>5%（15分）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C. 2%</w:t>
      </w:r>
      <w:r>
        <w:rPr>
          <w:rFonts w:hint="eastAsia" w:ascii="Times New Roman" w:hAnsi="Times New Roman" w:eastAsia="方正仿宋_GBK"/>
          <w:sz w:val="32"/>
          <w:szCs w:val="32"/>
        </w:rPr>
        <w:t>—</w:t>
      </w:r>
      <w:r>
        <w:rPr>
          <w:rFonts w:ascii="Times New Roman" w:hAnsi="Times New Roman" w:eastAsia="方正仿宋_GBK"/>
          <w:sz w:val="32"/>
          <w:szCs w:val="32"/>
        </w:rPr>
        <w:t>3%（10分）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D. 1%</w:t>
      </w:r>
      <w:r>
        <w:rPr>
          <w:rFonts w:hint="eastAsia" w:ascii="Times New Roman" w:hAnsi="Times New Roman" w:eastAsia="方正仿宋_GBK"/>
          <w:sz w:val="32"/>
          <w:szCs w:val="32"/>
        </w:rPr>
        <w:t>—</w:t>
      </w:r>
      <w:r>
        <w:rPr>
          <w:rFonts w:ascii="Times New Roman" w:hAnsi="Times New Roman" w:eastAsia="方正仿宋_GBK"/>
          <w:sz w:val="32"/>
          <w:szCs w:val="32"/>
        </w:rPr>
        <w:t>2%（5分）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E. 1%以下（0分）</w:t>
      </w:r>
    </w:p>
    <w:p>
      <w:pPr>
        <w:pStyle w:val="3"/>
        <w:adjustRightInd w:val="0"/>
        <w:snapToGrid w:val="0"/>
        <w:spacing w:before="0" w:beforeAutospacing="0" w:after="0" w:afterAutospacing="0" w:line="540" w:lineRule="atLeast"/>
        <w:ind w:firstLine="640" w:firstLineChars="200"/>
        <w:rPr>
          <w:rFonts w:ascii="Times New Roman" w:hAnsi="Times New Roman" w:eastAsia="方正楷体_GBK"/>
          <w:sz w:val="32"/>
          <w:szCs w:val="32"/>
        </w:rPr>
      </w:pPr>
      <w:r>
        <w:rPr>
          <w:rFonts w:ascii="Times New Roman" w:hAnsi="Times New Roman" w:eastAsia="方正楷体_GBK"/>
          <w:sz w:val="32"/>
          <w:szCs w:val="32"/>
        </w:rPr>
        <w:t>（二）成长性指标（满分30分）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3.上年度主营业务收入增长率</w:t>
      </w:r>
      <w:r>
        <w:rPr>
          <w:rFonts w:hint="eastAsia" w:ascii="Times New Roman" w:hAnsi="Times New Roman" w:eastAsia="方正仿宋_GBK"/>
          <w:sz w:val="32"/>
          <w:szCs w:val="32"/>
        </w:rPr>
        <w:t>。</w:t>
      </w:r>
      <w:r>
        <w:rPr>
          <w:rFonts w:ascii="Times New Roman" w:hAnsi="Times New Roman" w:eastAsia="方正仿宋_GBK"/>
          <w:sz w:val="32"/>
          <w:szCs w:val="32"/>
        </w:rPr>
        <w:t>（满分20分）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A. 15%以上（20分）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B. 10%</w:t>
      </w:r>
      <w:r>
        <w:rPr>
          <w:rFonts w:hint="eastAsia" w:ascii="Times New Roman" w:hAnsi="Times New Roman" w:eastAsia="方正仿宋_GBK"/>
          <w:sz w:val="32"/>
          <w:szCs w:val="32"/>
        </w:rPr>
        <w:t>—</w:t>
      </w:r>
      <w:r>
        <w:rPr>
          <w:rFonts w:ascii="Times New Roman" w:hAnsi="Times New Roman" w:eastAsia="方正仿宋_GBK"/>
          <w:sz w:val="32"/>
          <w:szCs w:val="32"/>
        </w:rPr>
        <w:t>15%（15分）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C. 5%</w:t>
      </w:r>
      <w:r>
        <w:rPr>
          <w:rFonts w:hint="eastAsia" w:ascii="Times New Roman" w:hAnsi="Times New Roman" w:eastAsia="方正仿宋_GBK"/>
          <w:sz w:val="32"/>
          <w:szCs w:val="32"/>
        </w:rPr>
        <w:t>—</w:t>
      </w:r>
      <w:r>
        <w:rPr>
          <w:rFonts w:ascii="Times New Roman" w:hAnsi="Times New Roman" w:eastAsia="方正仿宋_GBK"/>
          <w:sz w:val="32"/>
          <w:szCs w:val="32"/>
        </w:rPr>
        <w:t>10%（10分）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D. 0%</w:t>
      </w:r>
      <w:r>
        <w:rPr>
          <w:rFonts w:hint="eastAsia" w:ascii="Times New Roman" w:hAnsi="Times New Roman" w:eastAsia="方正仿宋_GBK"/>
          <w:sz w:val="32"/>
          <w:szCs w:val="32"/>
        </w:rPr>
        <w:t>—</w:t>
      </w:r>
      <w:r>
        <w:rPr>
          <w:rFonts w:ascii="Times New Roman" w:hAnsi="Times New Roman" w:eastAsia="方正仿宋_GBK"/>
          <w:sz w:val="32"/>
          <w:szCs w:val="32"/>
        </w:rPr>
        <w:t>5%（5分）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E. 0%以下（0分）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4.上年度资产负债率</w:t>
      </w:r>
      <w:r>
        <w:rPr>
          <w:rFonts w:hint="eastAsia" w:ascii="Times New Roman" w:hAnsi="Times New Roman" w:eastAsia="方正仿宋_GBK"/>
          <w:sz w:val="32"/>
          <w:szCs w:val="32"/>
        </w:rPr>
        <w:t>。</w:t>
      </w:r>
      <w:r>
        <w:rPr>
          <w:rFonts w:ascii="Times New Roman" w:hAnsi="Times New Roman" w:eastAsia="方正仿宋_GBK"/>
          <w:sz w:val="32"/>
          <w:szCs w:val="32"/>
        </w:rPr>
        <w:t>（满分10分）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A. 55%以下（10分）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B. 55%</w:t>
      </w:r>
      <w:r>
        <w:rPr>
          <w:rFonts w:hint="eastAsia" w:ascii="Times New Roman" w:hAnsi="Times New Roman" w:eastAsia="方正仿宋_GBK"/>
          <w:sz w:val="32"/>
          <w:szCs w:val="32"/>
        </w:rPr>
        <w:t>—</w:t>
      </w:r>
      <w:r>
        <w:rPr>
          <w:rFonts w:ascii="Times New Roman" w:hAnsi="Times New Roman" w:eastAsia="方正仿宋_GBK"/>
          <w:sz w:val="32"/>
          <w:szCs w:val="32"/>
        </w:rPr>
        <w:t>75%（5分）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D. 75%以上（0分）</w:t>
      </w:r>
    </w:p>
    <w:p>
      <w:pPr>
        <w:pStyle w:val="3"/>
        <w:adjustRightInd w:val="0"/>
        <w:snapToGrid w:val="0"/>
        <w:spacing w:before="0" w:beforeAutospacing="0" w:after="0" w:afterAutospacing="0" w:line="540" w:lineRule="atLeast"/>
        <w:ind w:firstLine="640" w:firstLineChars="200"/>
        <w:rPr>
          <w:rFonts w:ascii="Times New Roman" w:hAnsi="Times New Roman" w:eastAsia="方正楷体_GBK"/>
          <w:sz w:val="32"/>
          <w:szCs w:val="32"/>
        </w:rPr>
      </w:pPr>
      <w:r>
        <w:rPr>
          <w:rFonts w:ascii="Times New Roman" w:hAnsi="Times New Roman" w:eastAsia="方正楷体_GBK"/>
          <w:sz w:val="32"/>
          <w:szCs w:val="32"/>
        </w:rPr>
        <w:t>（三）专业化指标。（满分30分）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5.主导产品所属领域情况</w:t>
      </w:r>
      <w:r>
        <w:rPr>
          <w:rFonts w:hint="eastAsia" w:ascii="Times New Roman" w:hAnsi="Times New Roman" w:eastAsia="方正仿宋_GBK"/>
          <w:sz w:val="32"/>
          <w:szCs w:val="32"/>
        </w:rPr>
        <w:t>。</w:t>
      </w:r>
      <w:r>
        <w:rPr>
          <w:rFonts w:ascii="Times New Roman" w:hAnsi="Times New Roman" w:eastAsia="方正仿宋_GBK"/>
          <w:sz w:val="32"/>
          <w:szCs w:val="32"/>
        </w:rPr>
        <w:t>（满分10分）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A.属于《战略性新兴产业分类》（10分）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B.属于其他领域（5分）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6.上年度主营业务收入总额占营业收入总额比重</w:t>
      </w:r>
      <w:r>
        <w:rPr>
          <w:rFonts w:hint="eastAsia" w:ascii="Times New Roman" w:hAnsi="Times New Roman" w:eastAsia="方正仿宋_GBK"/>
          <w:sz w:val="32"/>
          <w:szCs w:val="32"/>
        </w:rPr>
        <w:t>。</w:t>
      </w:r>
      <w:r>
        <w:rPr>
          <w:rFonts w:ascii="Times New Roman" w:hAnsi="Times New Roman" w:eastAsia="方正仿宋_GBK"/>
          <w:sz w:val="32"/>
          <w:szCs w:val="32"/>
        </w:rPr>
        <w:t>（满分 20分）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A. 70%以上（20分）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B. 60%</w:t>
      </w:r>
      <w:r>
        <w:rPr>
          <w:rFonts w:hint="eastAsia" w:ascii="Times New Roman" w:hAnsi="Times New Roman" w:eastAsia="方正仿宋_GBK"/>
          <w:sz w:val="32"/>
          <w:szCs w:val="32"/>
        </w:rPr>
        <w:t>—</w:t>
      </w:r>
      <w:r>
        <w:rPr>
          <w:rFonts w:ascii="Times New Roman" w:hAnsi="Times New Roman" w:eastAsia="方正仿宋_GBK"/>
          <w:sz w:val="32"/>
          <w:szCs w:val="32"/>
        </w:rPr>
        <w:t>70%（15分）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C. 55%</w:t>
      </w:r>
      <w:r>
        <w:rPr>
          <w:rFonts w:hint="eastAsia" w:ascii="Times New Roman" w:hAnsi="Times New Roman" w:eastAsia="方正仿宋_GBK"/>
          <w:sz w:val="32"/>
          <w:szCs w:val="32"/>
        </w:rPr>
        <w:t>—</w:t>
      </w:r>
      <w:r>
        <w:rPr>
          <w:rFonts w:ascii="Times New Roman" w:hAnsi="Times New Roman" w:eastAsia="方正仿宋_GBK"/>
          <w:sz w:val="32"/>
          <w:szCs w:val="32"/>
        </w:rPr>
        <w:t>60%（10分）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D. 50%</w:t>
      </w:r>
      <w:r>
        <w:rPr>
          <w:rFonts w:hint="eastAsia" w:ascii="Times New Roman" w:hAnsi="Times New Roman" w:eastAsia="方正仿宋_GBK"/>
          <w:sz w:val="32"/>
          <w:szCs w:val="32"/>
        </w:rPr>
        <w:t>—</w:t>
      </w:r>
      <w:r>
        <w:rPr>
          <w:rFonts w:ascii="Times New Roman" w:hAnsi="Times New Roman" w:eastAsia="方正仿宋_GBK"/>
          <w:sz w:val="32"/>
          <w:szCs w:val="32"/>
        </w:rPr>
        <w:t>55%（5分）</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E. 50%以下（0分）</w:t>
      </w:r>
    </w:p>
    <w:p>
      <w:pPr>
        <w:pStyle w:val="3"/>
        <w:adjustRightInd w:val="0"/>
        <w:snapToGrid w:val="0"/>
        <w:spacing w:before="0" w:beforeAutospacing="0" w:after="0" w:afterAutospacing="0" w:line="540" w:lineRule="atLeast"/>
        <w:ind w:firstLine="640"/>
        <w:rPr>
          <w:rFonts w:ascii="Times New Roman" w:hAnsi="Times New Roman" w:eastAsia="方正黑体_GBK"/>
          <w:color w:val="000000"/>
          <w:sz w:val="32"/>
          <w:szCs w:val="32"/>
          <w:lang w:bidi="ar"/>
        </w:rPr>
      </w:pPr>
      <w:r>
        <w:rPr>
          <w:rFonts w:ascii="Times New Roman" w:hAnsi="Times New Roman" w:eastAsia="方正黑体_GBK"/>
          <w:color w:val="000000"/>
          <w:sz w:val="32"/>
          <w:szCs w:val="32"/>
          <w:lang w:bidi="ar"/>
        </w:rPr>
        <w:t>三、部分指标说明</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一</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重大安全（含网络安全、数据安全）、质量、环境污染等事故</w:t>
      </w:r>
      <w:r>
        <w:rPr>
          <w:rFonts w:hint="eastAsia" w:ascii="Times New Roman" w:hAnsi="Times New Roman" w:eastAsia="方正仿宋_GBK"/>
          <w:sz w:val="32"/>
          <w:szCs w:val="32"/>
        </w:rPr>
        <w:t>”</w:t>
      </w:r>
      <w:r>
        <w:rPr>
          <w:rFonts w:ascii="Times New Roman" w:hAnsi="Times New Roman" w:eastAsia="方正仿宋_GBK"/>
          <w:sz w:val="32"/>
          <w:szCs w:val="32"/>
        </w:rPr>
        <w:t>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（二）</w:t>
      </w:r>
      <w:r>
        <w:rPr>
          <w:rFonts w:hint="eastAsia" w:ascii="Times New Roman" w:hAnsi="Times New Roman" w:eastAsia="方正仿宋_GBK"/>
          <w:sz w:val="32"/>
          <w:szCs w:val="32"/>
        </w:rPr>
        <w:t>“</w:t>
      </w:r>
      <w:r>
        <w:rPr>
          <w:rFonts w:ascii="Times New Roman" w:hAnsi="Times New Roman" w:eastAsia="方正仿宋_GBK"/>
          <w:sz w:val="32"/>
          <w:szCs w:val="32"/>
        </w:rPr>
        <w:t>省级科技奖励</w:t>
      </w:r>
      <w:r>
        <w:rPr>
          <w:rFonts w:hint="eastAsia" w:ascii="Times New Roman" w:hAnsi="Times New Roman" w:eastAsia="方正仿宋_GBK"/>
          <w:sz w:val="32"/>
          <w:szCs w:val="32"/>
        </w:rPr>
        <w:t>”</w:t>
      </w:r>
      <w:r>
        <w:rPr>
          <w:rFonts w:ascii="Times New Roman" w:hAnsi="Times New Roman" w:eastAsia="方正仿宋_GBK"/>
          <w:sz w:val="32"/>
          <w:szCs w:val="32"/>
        </w:rPr>
        <w:t>包括各省、自治区、直辖市科学技术奖的一、二、三等奖；</w:t>
      </w:r>
      <w:r>
        <w:rPr>
          <w:rFonts w:hint="eastAsia" w:ascii="Times New Roman" w:hAnsi="Times New Roman" w:eastAsia="方正仿宋_GBK"/>
          <w:sz w:val="32"/>
          <w:szCs w:val="32"/>
        </w:rPr>
        <w:t>“</w:t>
      </w:r>
      <w:r>
        <w:rPr>
          <w:rFonts w:ascii="Times New Roman" w:hAnsi="Times New Roman" w:eastAsia="方正仿宋_GBK"/>
          <w:sz w:val="32"/>
          <w:szCs w:val="32"/>
        </w:rPr>
        <w:t>国家级科技奖励</w:t>
      </w:r>
      <w:r>
        <w:rPr>
          <w:rFonts w:hint="eastAsia" w:ascii="Times New Roman" w:hAnsi="Times New Roman" w:eastAsia="方正仿宋_GBK"/>
          <w:sz w:val="32"/>
          <w:szCs w:val="32"/>
        </w:rPr>
        <w:t>”</w:t>
      </w:r>
      <w:r>
        <w:rPr>
          <w:rFonts w:ascii="Times New Roman" w:hAnsi="Times New Roman" w:eastAsia="方正仿宋_GBK"/>
          <w:sz w:val="32"/>
          <w:szCs w:val="32"/>
        </w:rPr>
        <w:t>包括国家科学技术进步奖、国家自然科学奖、国家技术发明奖，以及国防科技奖。</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股权融资</w:t>
      </w:r>
      <w:r>
        <w:rPr>
          <w:rFonts w:hint="eastAsia" w:ascii="Times New Roman" w:hAnsi="Times New Roman" w:eastAsia="方正仿宋_GBK"/>
          <w:sz w:val="32"/>
          <w:szCs w:val="32"/>
        </w:rPr>
        <w:t>”</w:t>
      </w:r>
      <w:r>
        <w:rPr>
          <w:rFonts w:ascii="Times New Roman" w:hAnsi="Times New Roman" w:eastAsia="方正仿宋_GBK"/>
          <w:sz w:val="32"/>
          <w:szCs w:val="32"/>
        </w:rPr>
        <w:t>是指公司股东稀释部分公司股权给投资人，以增资扩股（出让股权不超过30%）的方式引进新的股东，从而取得公司融资的方式。</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合格机构投资者</w:t>
      </w:r>
      <w:r>
        <w:rPr>
          <w:rFonts w:hint="eastAsia" w:ascii="Times New Roman" w:hAnsi="Times New Roman" w:eastAsia="方正仿宋_GBK"/>
          <w:sz w:val="32"/>
          <w:szCs w:val="32"/>
        </w:rPr>
        <w:t>”</w:t>
      </w:r>
      <w:r>
        <w:rPr>
          <w:rFonts w:ascii="Times New Roman" w:hAnsi="Times New Roman" w:eastAsia="方正仿宋_GBK"/>
          <w:sz w:val="32"/>
          <w:szCs w:val="32"/>
        </w:rPr>
        <w:t>是指符合《创业投资企业管理暂行办法》（发展改革委等10部门令第39号）或者《私募投资基金监督管理暂行办法》（证监会令第105号）相关规定，按照上述规定完成备案且规范运作的创业投资基金及私募股权投资基金。</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五</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Ⅰ类知识产权</w:t>
      </w:r>
      <w:r>
        <w:rPr>
          <w:rFonts w:hint="eastAsia" w:ascii="Times New Roman" w:hAnsi="Times New Roman" w:eastAsia="方正仿宋_GBK"/>
          <w:sz w:val="32"/>
          <w:szCs w:val="32"/>
        </w:rPr>
        <w:t>”</w:t>
      </w:r>
      <w:r>
        <w:rPr>
          <w:rFonts w:ascii="Times New Roman" w:hAnsi="Times New Roman" w:eastAsia="方正仿宋_GBK"/>
          <w:sz w:val="32"/>
          <w:szCs w:val="32"/>
        </w:rPr>
        <w:t>包括发明专利（含国防专利）、植物新品种、国家级农作物品种、国家新药、国家一级中药保护品种、集成电路布图设计专有权（均不包含转让未满1年的知识产权）。</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六</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Ⅰ类高价值知识产权</w:t>
      </w:r>
      <w:r>
        <w:rPr>
          <w:rFonts w:hint="eastAsia" w:ascii="Times New Roman" w:hAnsi="Times New Roman" w:eastAsia="方正仿宋_GBK"/>
          <w:sz w:val="32"/>
          <w:szCs w:val="32"/>
        </w:rPr>
        <w:t>”</w:t>
      </w:r>
      <w:r>
        <w:rPr>
          <w:rFonts w:ascii="Times New Roman" w:hAnsi="Times New Roman" w:eastAsia="方正仿宋_GBK"/>
          <w:sz w:val="32"/>
          <w:szCs w:val="32"/>
        </w:rPr>
        <w:t>须符合以下条件之一：</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1.在海外有同族专利权的发明专利或在海外取得收入的其他Ⅰ类知识产权，其中专利限 G20成员、新加坡以及欧洲专利局经实质审查后获得授权的发明专利。</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2.维持年限超过10年的Ⅰ类知识产权。</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3.实现较高质押融资金额的Ⅰ类知识产权。</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4.获得国家科学技术奖或中国专利奖的Ⅰ类知识产权。</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七</w:t>
      </w:r>
      <w:r>
        <w:rPr>
          <w:rFonts w:ascii="Times New Roman" w:hAnsi="Times New Roman" w:eastAsia="方正仿宋_GBK"/>
          <w:sz w:val="32"/>
          <w:szCs w:val="32"/>
        </w:rPr>
        <w:t>）所称</w:t>
      </w:r>
      <w:r>
        <w:rPr>
          <w:rFonts w:hint="eastAsia" w:ascii="Times New Roman" w:hAnsi="Times New Roman" w:eastAsia="方正仿宋_GBK"/>
          <w:sz w:val="32"/>
          <w:szCs w:val="32"/>
        </w:rPr>
        <w:t>“</w:t>
      </w:r>
      <w:r>
        <w:rPr>
          <w:rFonts w:ascii="Times New Roman" w:hAnsi="Times New Roman" w:eastAsia="方正仿宋_GBK"/>
          <w:sz w:val="32"/>
          <w:szCs w:val="32"/>
        </w:rPr>
        <w:t>Ⅱ类知识产权</w:t>
      </w:r>
      <w:r>
        <w:rPr>
          <w:rFonts w:hint="eastAsia" w:ascii="Times New Roman" w:hAnsi="Times New Roman" w:eastAsia="方正仿宋_GBK"/>
          <w:sz w:val="32"/>
          <w:szCs w:val="32"/>
        </w:rPr>
        <w:t>”</w:t>
      </w:r>
      <w:r>
        <w:rPr>
          <w:rFonts w:ascii="Times New Roman" w:hAnsi="Times New Roman" w:eastAsia="方正仿宋_GBK"/>
          <w:sz w:val="32"/>
          <w:szCs w:val="32"/>
        </w:rPr>
        <w:t>包括与主导产品相关的软件著作权（不含商标）、授权后维持超过2年的实用新型专利或外观设计专利（均不包含转让未满1年的知识产权）。</w:t>
      </w:r>
    </w:p>
    <w:p>
      <w:pPr>
        <w:pStyle w:val="3"/>
        <w:adjustRightInd w:val="0"/>
        <w:snapToGrid w:val="0"/>
        <w:spacing w:before="0" w:beforeAutospacing="0" w:after="0" w:afterAutospacing="0" w:line="540"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八</w:t>
      </w:r>
      <w:r>
        <w:rPr>
          <w:rFonts w:ascii="Times New Roman" w:hAnsi="Times New Roman" w:eastAsia="方正仿宋_GBK"/>
          <w:sz w:val="32"/>
          <w:szCs w:val="32"/>
        </w:rPr>
        <w:t>）如无特殊说明，所称</w:t>
      </w:r>
      <w:r>
        <w:rPr>
          <w:rFonts w:hint="eastAsia" w:ascii="Times New Roman" w:hAnsi="Times New Roman" w:eastAsia="方正仿宋_GBK"/>
          <w:sz w:val="32"/>
          <w:szCs w:val="32"/>
        </w:rPr>
        <w:t>“</w:t>
      </w:r>
      <w:r>
        <w:rPr>
          <w:rFonts w:ascii="Times New Roman" w:hAnsi="Times New Roman" w:eastAsia="方正仿宋_GBK"/>
          <w:sz w:val="32"/>
          <w:szCs w:val="32"/>
        </w:rPr>
        <w:t>以上</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以下</w:t>
      </w:r>
      <w:r>
        <w:rPr>
          <w:rFonts w:hint="eastAsia" w:ascii="Times New Roman" w:hAnsi="Times New Roman" w:eastAsia="方正仿宋_GBK"/>
          <w:sz w:val="32"/>
          <w:szCs w:val="32"/>
        </w:rPr>
        <w:t>”</w:t>
      </w:r>
      <w:r>
        <w:rPr>
          <w:rFonts w:ascii="Times New Roman" w:hAnsi="Times New Roman" w:eastAsia="方正仿宋_GBK"/>
          <w:sz w:val="32"/>
          <w:szCs w:val="32"/>
        </w:rPr>
        <w:t>，包括本数；所称的</w:t>
      </w:r>
      <w:r>
        <w:rPr>
          <w:rFonts w:hint="eastAsia" w:ascii="Times New Roman" w:hAnsi="Times New Roman" w:eastAsia="方正仿宋_GBK"/>
          <w:sz w:val="32"/>
          <w:szCs w:val="32"/>
        </w:rPr>
        <w:t>“</w:t>
      </w:r>
      <w:r>
        <w:rPr>
          <w:rFonts w:ascii="Times New Roman" w:hAnsi="Times New Roman" w:eastAsia="方正仿宋_GBK"/>
          <w:sz w:val="32"/>
          <w:szCs w:val="32"/>
        </w:rPr>
        <w:t>超过</w:t>
      </w:r>
      <w:r>
        <w:rPr>
          <w:rFonts w:hint="eastAsia" w:ascii="Times New Roman" w:hAnsi="Times New Roman" w:eastAsia="方正仿宋_GBK"/>
          <w:sz w:val="32"/>
          <w:szCs w:val="32"/>
        </w:rPr>
        <w:t>”</w:t>
      </w:r>
      <w:r>
        <w:rPr>
          <w:rFonts w:ascii="Times New Roman" w:hAnsi="Times New Roman" w:eastAsia="方正仿宋_GBK"/>
          <w:sz w:val="32"/>
          <w:szCs w:val="32"/>
        </w:rPr>
        <w:t>，不包括本数。在计算评价指标得分时，如指标值位于两个评分区间边界上，按高分计算得分。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ThjYzgzMmVhOTFlZTJiNjQwYjQ5ZTEwZTc3YWQifQ=="/>
  </w:docVars>
  <w:rsids>
    <w:rsidRoot w:val="2C8D5D60"/>
    <w:rsid w:val="2C8D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1518</Words>
  <Characters>1636</Characters>
  <Lines>0</Lines>
  <Paragraphs>0</Paragraphs>
  <TotalTime>0</TotalTime>
  <ScaleCrop>false</ScaleCrop>
  <LinksUpToDate>false</LinksUpToDate>
  <CharactersWithSpaces>1663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2022-10-21T07:48:00Z</dcterms:created>
  <dc:creator>FF</dc:creator>
  <cp:lastModifiedBy>FF</cp:lastModifiedBy>
  <dcterms:modified xsi:type="dcterms:W3CDTF">2022-10-21T07:49:12Z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74A538DDD9E84F1C87B41BB6C787A4ED</vt:lpwstr>
  </property>
</Properties>
</file>